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bookmarkStart w:id="3" w:name="_GoBack"/>
      <w:bookmarkEnd w:id="3"/>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hint="eastAsia"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r>
        <w:rPr>
          <w:rFonts w:hint="eastAsia" w:ascii="Times New Roman" w:hAnsi="Times New Roman" w:eastAsia="方正小标宋简体" w:cs="Times New Roman"/>
          <w:sz w:val="72"/>
          <w:szCs w:val="72"/>
        </w:rPr>
        <w:t>怀化国际陆港经济</w:t>
      </w:r>
      <w:r>
        <w:rPr>
          <w:rFonts w:hint="eastAsia" w:ascii="Times New Roman" w:hAnsi="Times New Roman" w:eastAsia="方正小标宋简体" w:cs="Times New Roman"/>
          <w:sz w:val="72"/>
          <w:szCs w:val="72"/>
          <w:lang w:val="en-US" w:eastAsia="zh-CN"/>
        </w:rPr>
        <w:t xml:space="preserve"> </w:t>
      </w:r>
      <w:r>
        <w:rPr>
          <w:rFonts w:hint="eastAsia" w:ascii="Times New Roman" w:hAnsi="Times New Roman" w:eastAsia="方正小标宋简体" w:cs="Times New Roman"/>
          <w:sz w:val="72"/>
          <w:szCs w:val="72"/>
        </w:rPr>
        <w:t>开发区财政金融局</w:t>
      </w: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both"/>
        <w:rPr>
          <w:rFonts w:ascii="Times New Roman" w:hAnsi="Times New Roman" w:cs="Times New Roman"/>
          <w:sz w:val="32"/>
          <w:szCs w:val="32"/>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怀化国际陆港经济开发区财政金融局</w:t>
      </w:r>
      <w:r>
        <w:rPr>
          <w:rFonts w:ascii="Times New Roman" w:hAnsi="Times New Roman" w:cs="Times New Roman"/>
          <w:bCs/>
          <w:sz w:val="32"/>
          <w:szCs w:val="32"/>
        </w:rPr>
        <w:t>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怀化国际陆港经济开发区财政金融局</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600" w:lineRule="exact"/>
        <w:ind w:left="0" w:leftChars="0" w:firstLine="838" w:firstLineChars="262"/>
        <w:jc w:val="left"/>
        <w:rPr>
          <w:rFonts w:hint="eastAsia" w:ascii="Times New Roman" w:hAnsi="Times New Roman" w:eastAsia="仿宋" w:cs="Times New Roman"/>
          <w:sz w:val="32"/>
          <w:szCs w:val="32"/>
          <w:lang w:eastAsia="zh-CN"/>
        </w:rPr>
      </w:pPr>
      <w:r>
        <w:rPr>
          <w:rFonts w:ascii="Times New Roman" w:hAnsi="Times New Roman" w:eastAsia="仿宋_GB2312" w:cs="Times New Roman"/>
          <w:sz w:val="32"/>
          <w:szCs w:val="32"/>
        </w:rPr>
        <w:t>（一）</w:t>
      </w:r>
      <w:r>
        <w:rPr>
          <w:rFonts w:ascii="仿宋" w:hAnsi="仿宋" w:eastAsia="仿宋" w:cs="仿宋"/>
          <w:i w:val="0"/>
          <w:iCs w:val="0"/>
          <w:caps w:val="0"/>
          <w:color w:val="333333"/>
          <w:spacing w:val="0"/>
          <w:sz w:val="32"/>
          <w:szCs w:val="32"/>
          <w:shd w:val="clear" w:fill="FFFFFF"/>
        </w:rPr>
        <w:t>负责编制怀化国际陆港经开区财政年度预决算工作</w:t>
      </w:r>
      <w:r>
        <w:rPr>
          <w:rFonts w:hint="eastAsia" w:ascii="仿宋" w:hAnsi="仿宋" w:eastAsia="仿宋" w:cs="仿宋"/>
          <w:i w:val="0"/>
          <w:iCs w:val="0"/>
          <w:caps w:val="0"/>
          <w:color w:val="333333"/>
          <w:spacing w:val="0"/>
          <w:sz w:val="32"/>
          <w:szCs w:val="32"/>
          <w:shd w:val="clear" w:fill="FFFFFF"/>
          <w:lang w:eastAsia="zh-CN"/>
        </w:rPr>
        <w:t>；</w:t>
      </w:r>
    </w:p>
    <w:p>
      <w:pPr>
        <w:spacing w:line="600" w:lineRule="exact"/>
        <w:ind w:left="0" w:leftChars="0" w:firstLine="838" w:firstLineChars="262"/>
        <w:jc w:val="left"/>
        <w:rPr>
          <w:rFonts w:ascii="仿宋" w:hAnsi="仿宋" w:eastAsia="仿宋" w:cs="仿宋"/>
          <w:i w:val="0"/>
          <w:iCs w:val="0"/>
          <w:caps w:val="0"/>
          <w:color w:val="333333"/>
          <w:spacing w:val="0"/>
          <w:sz w:val="32"/>
          <w:szCs w:val="32"/>
          <w:shd w:val="clear" w:fill="FFFFFF"/>
        </w:rPr>
      </w:pPr>
      <w:r>
        <w:rPr>
          <w:rFonts w:ascii="Times New Roman" w:hAnsi="Times New Roman" w:eastAsia="仿宋_GB2312" w:cs="Times New Roman"/>
          <w:sz w:val="32"/>
          <w:szCs w:val="32"/>
        </w:rPr>
        <w:t>（二）</w:t>
      </w:r>
      <w:r>
        <w:rPr>
          <w:rFonts w:ascii="仿宋" w:hAnsi="仿宋" w:eastAsia="仿宋" w:cs="仿宋"/>
          <w:i w:val="0"/>
          <w:iCs w:val="0"/>
          <w:caps w:val="0"/>
          <w:color w:val="333333"/>
          <w:spacing w:val="0"/>
          <w:sz w:val="32"/>
          <w:szCs w:val="32"/>
          <w:shd w:val="clear" w:fill="FFFFFF"/>
        </w:rPr>
        <w:t>负责各类财政专户、收支的管理；</w:t>
      </w:r>
    </w:p>
    <w:p>
      <w:pPr>
        <w:pStyle w:val="2"/>
        <w:ind w:left="0" w:leftChars="0" w:firstLine="838" w:firstLineChars="262"/>
      </w:pP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lang w:val="en-US" w:eastAsia="zh-CN"/>
        </w:rPr>
        <w:t>三</w:t>
      </w:r>
      <w:r>
        <w:rPr>
          <w:rFonts w:hint="eastAsia" w:ascii="仿宋" w:hAnsi="仿宋" w:eastAsia="仿宋" w:cs="仿宋"/>
          <w:i w:val="0"/>
          <w:iCs w:val="0"/>
          <w:caps w:val="0"/>
          <w:color w:val="333333"/>
          <w:spacing w:val="0"/>
          <w:sz w:val="32"/>
          <w:szCs w:val="32"/>
          <w:shd w:val="clear" w:fill="FFFFFF"/>
          <w:lang w:eastAsia="zh-CN"/>
        </w:rPr>
        <w:t>）</w:t>
      </w:r>
      <w:r>
        <w:rPr>
          <w:rFonts w:ascii="仿宋" w:hAnsi="仿宋" w:eastAsia="仿宋" w:cs="仿宋"/>
          <w:i w:val="0"/>
          <w:iCs w:val="0"/>
          <w:caps w:val="0"/>
          <w:color w:val="333333"/>
          <w:spacing w:val="0"/>
          <w:sz w:val="32"/>
          <w:szCs w:val="32"/>
          <w:shd w:val="clear" w:fill="FFFFFF"/>
        </w:rPr>
        <w:t>负责地方政府债务管理，根据授权负责监督地方融资平台的融资化债工作；</w:t>
      </w:r>
    </w:p>
    <w:p>
      <w:pPr>
        <w:spacing w:line="600" w:lineRule="exact"/>
        <w:ind w:left="0" w:leftChars="0" w:firstLine="838" w:firstLineChars="262"/>
        <w:jc w:val="left"/>
        <w:rPr>
          <w:rFonts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lang w:val="en-US" w:eastAsia="zh-CN"/>
        </w:rPr>
        <w:t>四</w:t>
      </w:r>
      <w:r>
        <w:rPr>
          <w:rFonts w:hint="eastAsia" w:ascii="仿宋" w:hAnsi="仿宋" w:eastAsia="仿宋" w:cs="仿宋"/>
          <w:i w:val="0"/>
          <w:iCs w:val="0"/>
          <w:caps w:val="0"/>
          <w:color w:val="333333"/>
          <w:spacing w:val="0"/>
          <w:sz w:val="32"/>
          <w:szCs w:val="32"/>
          <w:shd w:val="clear" w:fill="FFFFFF"/>
          <w:lang w:eastAsia="zh-CN"/>
        </w:rPr>
        <w:t>）</w:t>
      </w:r>
      <w:r>
        <w:rPr>
          <w:rFonts w:ascii="仿宋" w:hAnsi="仿宋" w:eastAsia="仿宋" w:cs="仿宋"/>
          <w:i w:val="0"/>
          <w:iCs w:val="0"/>
          <w:caps w:val="0"/>
          <w:color w:val="333333"/>
          <w:spacing w:val="0"/>
          <w:sz w:val="32"/>
          <w:szCs w:val="32"/>
          <w:shd w:val="clear" w:fill="FFFFFF"/>
        </w:rPr>
        <w:t>负责预算绩效管理、政府投资项目预决算评审；</w:t>
      </w:r>
    </w:p>
    <w:p>
      <w:pPr>
        <w:pStyle w:val="2"/>
        <w:ind w:left="0" w:leftChars="0" w:firstLine="838" w:firstLineChars="262"/>
        <w:rPr>
          <w:rFonts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lang w:val="en-US" w:eastAsia="zh-CN"/>
        </w:rPr>
        <w:t>五</w:t>
      </w:r>
      <w:r>
        <w:rPr>
          <w:rFonts w:hint="eastAsia" w:ascii="仿宋" w:hAnsi="仿宋" w:eastAsia="仿宋" w:cs="仿宋"/>
          <w:i w:val="0"/>
          <w:iCs w:val="0"/>
          <w:caps w:val="0"/>
          <w:color w:val="333333"/>
          <w:spacing w:val="0"/>
          <w:sz w:val="32"/>
          <w:szCs w:val="32"/>
          <w:shd w:val="clear" w:fill="FFFFFF"/>
          <w:lang w:eastAsia="zh-CN"/>
        </w:rPr>
        <w:t>）</w:t>
      </w:r>
      <w:r>
        <w:rPr>
          <w:rFonts w:ascii="仿宋" w:hAnsi="仿宋" w:eastAsia="仿宋" w:cs="仿宋"/>
          <w:i w:val="0"/>
          <w:iCs w:val="0"/>
          <w:caps w:val="0"/>
          <w:color w:val="333333"/>
          <w:spacing w:val="0"/>
          <w:sz w:val="32"/>
          <w:szCs w:val="32"/>
          <w:shd w:val="clear" w:fill="FFFFFF"/>
        </w:rPr>
        <w:t>负责国有资产管理、政府采购、财务会计、内部审计工作；</w:t>
      </w:r>
    </w:p>
    <w:p>
      <w:pPr>
        <w:pStyle w:val="3"/>
        <w:ind w:left="0" w:leftChars="0" w:firstLine="838" w:firstLineChars="262"/>
        <w:rPr>
          <w:rFonts w:hint="eastAsia" w:eastAsia="仿宋"/>
          <w:lang w:eastAsia="zh-CN"/>
        </w:rPr>
      </w:pP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lang w:val="en-US" w:eastAsia="zh-CN"/>
        </w:rPr>
        <w:t>六</w:t>
      </w:r>
      <w:r>
        <w:rPr>
          <w:rFonts w:hint="eastAsia" w:ascii="仿宋" w:hAnsi="仿宋" w:eastAsia="仿宋" w:cs="仿宋"/>
          <w:i w:val="0"/>
          <w:iCs w:val="0"/>
          <w:caps w:val="0"/>
          <w:color w:val="333333"/>
          <w:spacing w:val="0"/>
          <w:sz w:val="32"/>
          <w:szCs w:val="32"/>
          <w:shd w:val="clear" w:fill="FFFFFF"/>
          <w:lang w:eastAsia="zh-CN"/>
        </w:rPr>
        <w:t>）</w:t>
      </w:r>
      <w:r>
        <w:rPr>
          <w:rFonts w:ascii="仿宋" w:hAnsi="仿宋" w:eastAsia="仿宋" w:cs="仿宋"/>
          <w:i w:val="0"/>
          <w:iCs w:val="0"/>
          <w:caps w:val="0"/>
          <w:color w:val="333333"/>
          <w:spacing w:val="0"/>
          <w:sz w:val="32"/>
          <w:szCs w:val="32"/>
          <w:shd w:val="clear" w:fill="FFFFFF"/>
        </w:rPr>
        <w:t>负责地方金融工作，协调处理企业融资、上市等工作。</w:t>
      </w:r>
    </w:p>
    <w:p>
      <w:pPr>
        <w:pStyle w:val="2"/>
        <w:rPr>
          <w:rFonts w:hint="default" w:eastAsia="仿宋"/>
          <w:lang w:val="en-US" w:eastAsia="zh-CN"/>
        </w:rPr>
      </w:pPr>
      <w:r>
        <w:rPr>
          <w:rFonts w:hint="eastAsia" w:ascii="仿宋" w:hAnsi="仿宋" w:eastAsia="仿宋" w:cs="仿宋"/>
          <w:i w:val="0"/>
          <w:iCs w:val="0"/>
          <w:caps w:val="0"/>
          <w:color w:val="333333"/>
          <w:spacing w:val="0"/>
          <w:sz w:val="32"/>
          <w:szCs w:val="32"/>
          <w:shd w:val="clear" w:fill="FFFFFF"/>
          <w:lang w:val="en-US" w:eastAsia="zh-CN"/>
        </w:rPr>
        <w:t xml:space="preserve">      </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本单位内设机构包括：</w:t>
      </w:r>
      <w:r>
        <w:rPr>
          <w:rFonts w:ascii="Times New Roman" w:hAnsi="Times New Roman" w:eastAsia="仿宋_GB2312" w:cs="Times New Roman"/>
          <w:bCs/>
          <w:kern w:val="0"/>
          <w:sz w:val="32"/>
          <w:szCs w:val="32"/>
        </w:rPr>
        <w:t>办公室、预算股、国库集中支付核算中心、经济建设股、监督</w:t>
      </w:r>
      <w:r>
        <w:rPr>
          <w:rFonts w:hint="eastAsia" w:ascii="Times New Roman" w:hAnsi="Times New Roman" w:eastAsia="仿宋_GB2312" w:cs="Times New Roman"/>
          <w:bCs/>
          <w:kern w:val="0"/>
          <w:sz w:val="32"/>
          <w:szCs w:val="32"/>
          <w:lang w:val="en-US" w:eastAsia="zh-CN"/>
        </w:rPr>
        <w:t>管理</w:t>
      </w:r>
      <w:r>
        <w:rPr>
          <w:rFonts w:ascii="Times New Roman" w:hAnsi="Times New Roman" w:eastAsia="仿宋_GB2312" w:cs="Times New Roman"/>
          <w:bCs/>
          <w:kern w:val="0"/>
          <w:sz w:val="32"/>
          <w:szCs w:val="32"/>
        </w:rPr>
        <w:t>股、</w:t>
      </w:r>
      <w:r>
        <w:rPr>
          <w:rFonts w:hint="eastAsia" w:ascii="Times New Roman" w:hAnsi="Times New Roman" w:eastAsia="仿宋_GB2312" w:cs="Times New Roman"/>
          <w:bCs/>
          <w:kern w:val="0"/>
          <w:sz w:val="32"/>
          <w:szCs w:val="32"/>
          <w:lang w:val="en-US" w:eastAsia="zh-CN"/>
        </w:rPr>
        <w:t>债务股</w:t>
      </w:r>
      <w:r>
        <w:rPr>
          <w:rFonts w:ascii="Times New Roman" w:hAnsi="Times New Roman" w:eastAsia="仿宋_GB2312" w:cs="Times New Roman"/>
          <w:bCs/>
          <w:kern w:val="0"/>
          <w:sz w:val="32"/>
          <w:szCs w:val="32"/>
        </w:rPr>
        <w:t>、</w:t>
      </w:r>
      <w:r>
        <w:rPr>
          <w:rFonts w:hint="eastAsia" w:ascii="Times New Roman" w:hAnsi="Times New Roman" w:eastAsia="仿宋_GB2312" w:cs="Times New Roman"/>
          <w:bCs/>
          <w:kern w:val="0"/>
          <w:sz w:val="32"/>
          <w:szCs w:val="32"/>
          <w:lang w:val="en-US" w:eastAsia="zh-CN"/>
        </w:rPr>
        <w:t>金融股、</w:t>
      </w:r>
      <w:r>
        <w:rPr>
          <w:rFonts w:ascii="Times New Roman" w:hAnsi="Times New Roman" w:eastAsia="仿宋_GB2312" w:cs="Times New Roman"/>
          <w:bCs/>
          <w:kern w:val="0"/>
          <w:sz w:val="32"/>
          <w:szCs w:val="32"/>
        </w:rPr>
        <w:t>财政评审办公室共</w:t>
      </w:r>
      <w:r>
        <w:rPr>
          <w:rFonts w:hint="eastAsia" w:ascii="Times New Roman" w:hAnsi="Times New Roman" w:eastAsia="仿宋_GB2312" w:cs="Times New Roman"/>
          <w:bCs/>
          <w:kern w:val="0"/>
          <w:sz w:val="32"/>
          <w:szCs w:val="32"/>
          <w:lang w:val="en-US" w:eastAsia="zh-CN"/>
        </w:rPr>
        <w:t>8</w:t>
      </w:r>
      <w:r>
        <w:rPr>
          <w:rFonts w:ascii="Times New Roman" w:hAnsi="Times New Roman" w:eastAsia="仿宋_GB2312" w:cs="Times New Roman"/>
          <w:bCs/>
          <w:kern w:val="0"/>
          <w:sz w:val="32"/>
          <w:szCs w:val="32"/>
        </w:rPr>
        <w:t>个股室组成。</w:t>
      </w:r>
    </w:p>
    <w:p>
      <w:pPr>
        <w:widowControl/>
        <w:spacing w:line="600" w:lineRule="exact"/>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本</w:t>
      </w:r>
      <w:r>
        <w:rPr>
          <w:rFonts w:ascii="Times New Roman" w:hAnsi="Times New Roman" w:eastAsia="仿宋_GB2312" w:cs="Times New Roman"/>
          <w:bCs/>
          <w:kern w:val="0"/>
          <w:sz w:val="32"/>
          <w:szCs w:val="32"/>
        </w:rPr>
        <w:t>单位202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怀化国际陆港经济开发区财政金融局</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怀化国际陆港经济开发区财政金融局</w:t>
      </w:r>
      <w:r>
        <w:rPr>
          <w:rFonts w:ascii="Times New Roman" w:hAnsi="Times New Roman" w:eastAsia="仿宋_GB2312" w:cs="Times New Roman"/>
          <w:color w:val="000000"/>
          <w:kern w:val="0"/>
          <w:sz w:val="20"/>
          <w:szCs w:val="20"/>
          <w:lang w:bidi="ar"/>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Ind w:w="0" w:type="dxa"/>
        <w:tblLayout w:type="fixed"/>
        <w:tblCellMar>
          <w:top w:w="0" w:type="dxa"/>
          <w:left w:w="108" w:type="dxa"/>
          <w:bottom w:w="0" w:type="dxa"/>
          <w:right w:w="108" w:type="dxa"/>
        </w:tblCellMar>
      </w:tblPr>
      <w:tblGrid>
        <w:gridCol w:w="5762"/>
        <w:gridCol w:w="850"/>
        <w:gridCol w:w="1291"/>
        <w:gridCol w:w="4851"/>
        <w:gridCol w:w="850"/>
        <w:gridCol w:w="1292"/>
      </w:tblGrid>
      <w:tr>
        <w:tblPrEx>
          <w:tblLayout w:type="fixed"/>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578.96</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582.25</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3.28</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582.25</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582.25</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582.25</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582.25</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bidi="ar"/>
        </w:rPr>
        <w:t>怀化国际陆港经济开发区财政金融局</w:t>
      </w:r>
      <w:r>
        <w:rPr>
          <w:rFonts w:ascii="Times New Roman" w:hAnsi="Times New Roman" w:eastAsia="仿宋_GB2312" w:cs="Times New Roman"/>
          <w:color w:val="000000"/>
          <w:kern w:val="0"/>
          <w:sz w:val="20"/>
          <w:szCs w:val="20"/>
          <w:lang w:bidi="ar"/>
        </w:rPr>
        <w:tab/>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lang w:val="en-US" w:eastAsia="zh-CN"/>
        </w:rPr>
        <w:t xml:space="preserve"> </w:t>
      </w:r>
      <w:r>
        <w:rPr>
          <w:rFonts w:ascii="Times New Roman" w:hAnsi="Times New Roman" w:eastAsia="仿宋_GB2312" w:cs="Times New Roman"/>
          <w:color w:val="000000"/>
          <w:sz w:val="20"/>
          <w:szCs w:val="20"/>
        </w:rPr>
        <w:t>单位：万元</w:t>
      </w:r>
    </w:p>
    <w:tbl>
      <w:tblPr>
        <w:tblStyle w:val="10"/>
        <w:tblW w:w="14666" w:type="dxa"/>
        <w:jc w:val="center"/>
        <w:tblInd w:w="0" w:type="dxa"/>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Layout w:type="fixed"/>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Layout w:type="fixed"/>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Layout w:type="fixed"/>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Layout w:type="fixed"/>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Layout w:type="fixed"/>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ascii="Times New Roman" w:hAnsi="Times New Roman" w:eastAsia="仿宋_GB2312" w:cs="Times New Roman"/>
                <w:lang w:val="en-US" w:eastAsia="zh-CN"/>
              </w:rPr>
              <w:t>582.25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578.96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3.28</w:t>
            </w: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2010601</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238.27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234.98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3.28</w:t>
            </w: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2010602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一般行政管理事务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343.98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343.98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3.28</w:t>
            </w: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怀化国际陆港经济开发区财政金融局</w:t>
      </w:r>
      <w:r>
        <w:rPr>
          <w:rFonts w:ascii="Times New Roman" w:hAnsi="Times New Roman" w:eastAsia="仿宋_GB2312" w:cs="Times New Roman"/>
          <w:color w:val="000000"/>
          <w:kern w:val="0"/>
          <w:sz w:val="20"/>
          <w:szCs w:val="20"/>
          <w:lang w:bidi="ar"/>
        </w:rPr>
        <w:tab/>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14211" w:type="dxa"/>
        <w:jc w:val="center"/>
        <w:tblInd w:w="0" w:type="dxa"/>
        <w:tblLayout w:type="fixed"/>
        <w:tblCellMar>
          <w:top w:w="0" w:type="dxa"/>
          <w:left w:w="108" w:type="dxa"/>
          <w:bottom w:w="0" w:type="dxa"/>
          <w:right w:w="108" w:type="dxa"/>
        </w:tblCellMar>
      </w:tblPr>
      <w:tblGrid>
        <w:gridCol w:w="2343"/>
        <w:gridCol w:w="1896"/>
        <w:gridCol w:w="1797"/>
        <w:gridCol w:w="1254"/>
        <w:gridCol w:w="1254"/>
        <w:gridCol w:w="1797"/>
        <w:gridCol w:w="1254"/>
        <w:gridCol w:w="2616"/>
      </w:tblGrid>
      <w:tr>
        <w:tblPrEx>
          <w:tblLayout w:type="fixed"/>
          <w:tblCellMar>
            <w:top w:w="0" w:type="dxa"/>
            <w:left w:w="108" w:type="dxa"/>
            <w:bottom w:w="0" w:type="dxa"/>
            <w:right w:w="108" w:type="dxa"/>
          </w:tblCellMar>
        </w:tblPrEx>
        <w:trPr>
          <w:trHeight w:val="595" w:hRule="atLeast"/>
          <w:jc w:val="center"/>
        </w:trPr>
        <w:tc>
          <w:tcPr>
            <w:tcW w:w="4239"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7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25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25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7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25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Layout w:type="fixed"/>
          <w:tblCellMar>
            <w:top w:w="0" w:type="dxa"/>
            <w:left w:w="108" w:type="dxa"/>
            <w:bottom w:w="0" w:type="dxa"/>
            <w:right w:w="108" w:type="dxa"/>
          </w:tblCellMar>
        </w:tblPrEx>
        <w:trPr>
          <w:trHeight w:val="312" w:hRule="exact"/>
          <w:jc w:val="center"/>
        </w:trPr>
        <w:tc>
          <w:tcPr>
            <w:tcW w:w="234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896"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261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23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896"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61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423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797"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25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25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97"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25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Layout w:type="fixed"/>
          <w:tblCellMar>
            <w:top w:w="0" w:type="dxa"/>
            <w:left w:w="108" w:type="dxa"/>
            <w:bottom w:w="0" w:type="dxa"/>
            <w:right w:w="108" w:type="dxa"/>
          </w:tblCellMar>
        </w:tblPrEx>
        <w:trPr>
          <w:trHeight w:val="595" w:hRule="atLeast"/>
          <w:jc w:val="center"/>
        </w:trPr>
        <w:tc>
          <w:tcPr>
            <w:tcW w:w="423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582.25</w:t>
            </w: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238.27</w:t>
            </w: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343.98</w:t>
            </w:r>
            <w:r>
              <w:rPr>
                <w:rFonts w:ascii="Times New Roman" w:hAnsi="Times New Roman" w:eastAsia="仿宋_GB2312" w:cs="Times New Roman"/>
                <w:kern w:val="0"/>
                <w:sz w:val="24"/>
                <w:szCs w:val="24"/>
              </w:rPr>
              <w:t>　</w:t>
            </w:r>
          </w:p>
        </w:tc>
        <w:tc>
          <w:tcPr>
            <w:tcW w:w="17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1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343"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default" w:ascii="Times New Roman" w:hAnsi="Times New Roman" w:eastAsia="仿宋_GB2312" w:cs="Times New Roman"/>
                <w:kern w:val="2"/>
                <w:sz w:val="21"/>
                <w:szCs w:val="22"/>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2010601</w:t>
            </w:r>
          </w:p>
        </w:tc>
        <w:tc>
          <w:tcPr>
            <w:tcW w:w="1896" w:type="dxa"/>
            <w:tcBorders>
              <w:top w:val="nil"/>
              <w:left w:val="nil"/>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行政运行</w:t>
            </w:r>
          </w:p>
        </w:tc>
        <w:tc>
          <w:tcPr>
            <w:tcW w:w="17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238.27</w:t>
            </w: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238.27</w:t>
            </w: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1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343"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default" w:ascii="Times New Roman" w:hAnsi="Times New Roman" w:eastAsia="仿宋_GB2312" w:cs="Times New Roman"/>
                <w:kern w:val="2"/>
                <w:sz w:val="21"/>
                <w:szCs w:val="22"/>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2010602</w:t>
            </w:r>
          </w:p>
        </w:tc>
        <w:tc>
          <w:tcPr>
            <w:tcW w:w="1896" w:type="dxa"/>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一般行政管理事务</w:t>
            </w:r>
          </w:p>
        </w:tc>
        <w:tc>
          <w:tcPr>
            <w:tcW w:w="17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343.98</w:t>
            </w: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343.98</w:t>
            </w:r>
            <w:r>
              <w:rPr>
                <w:rFonts w:ascii="Times New Roman" w:hAnsi="Times New Roman" w:eastAsia="仿宋_GB2312" w:cs="Times New Roman"/>
                <w:kern w:val="0"/>
                <w:sz w:val="24"/>
                <w:szCs w:val="24"/>
              </w:rPr>
              <w:t>　</w:t>
            </w:r>
          </w:p>
        </w:tc>
        <w:tc>
          <w:tcPr>
            <w:tcW w:w="17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1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343"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96" w:type="dxa"/>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1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343"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96" w:type="dxa"/>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1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343"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96" w:type="dxa"/>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1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343"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96" w:type="dxa"/>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1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怀化国际陆港经济开发区财政金融局</w:t>
      </w:r>
      <w:r>
        <w:rPr>
          <w:rFonts w:ascii="Times New Roman" w:hAnsi="Times New Roman" w:eastAsia="仿宋_GB2312" w:cs="Times New Roman"/>
          <w:color w:val="000000"/>
          <w:kern w:val="0"/>
          <w:sz w:val="20"/>
          <w:szCs w:val="20"/>
          <w:lang w:bidi="ar"/>
        </w:rPr>
        <w:tab/>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14220" w:type="dxa"/>
        <w:jc w:val="center"/>
        <w:tblInd w:w="0" w:type="dxa"/>
        <w:tblLayout w:type="fixed"/>
        <w:tblCellMar>
          <w:top w:w="0" w:type="dxa"/>
          <w:left w:w="108" w:type="dxa"/>
          <w:bottom w:w="0" w:type="dxa"/>
          <w:right w:w="108" w:type="dxa"/>
        </w:tblCellMar>
      </w:tblPr>
      <w:tblGrid>
        <w:gridCol w:w="3516"/>
        <w:gridCol w:w="616"/>
        <w:gridCol w:w="821"/>
        <w:gridCol w:w="2636"/>
        <w:gridCol w:w="616"/>
        <w:gridCol w:w="821"/>
        <w:gridCol w:w="1730"/>
        <w:gridCol w:w="1671"/>
        <w:gridCol w:w="1793"/>
      </w:tblGrid>
      <w:tr>
        <w:tblPrEx>
          <w:tblLayout w:type="fixed"/>
          <w:tblCellMar>
            <w:top w:w="0" w:type="dxa"/>
            <w:left w:w="108" w:type="dxa"/>
            <w:bottom w:w="0" w:type="dxa"/>
            <w:right w:w="108" w:type="dxa"/>
          </w:tblCellMar>
        </w:tblPrEx>
        <w:trPr>
          <w:trHeight w:val="402" w:hRule="atLeast"/>
          <w:jc w:val="center"/>
        </w:trPr>
        <w:tc>
          <w:tcPr>
            <w:tcW w:w="495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67"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Layout w:type="fixed"/>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3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7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9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73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578.96</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578.96</w:t>
            </w:r>
            <w:r>
              <w:rPr>
                <w:rFonts w:ascii="Times New Roman" w:hAnsi="Times New Roman" w:eastAsia="仿宋_GB2312" w:cs="Times New Roman"/>
                <w:kern w:val="0"/>
                <w:sz w:val="22"/>
              </w:rPr>
              <w:t>　</w:t>
            </w:r>
          </w:p>
        </w:tc>
        <w:tc>
          <w:tcPr>
            <w:tcW w:w="173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578.96</w:t>
            </w:r>
            <w:r>
              <w:rPr>
                <w:rFonts w:ascii="Times New Roman" w:hAnsi="Times New Roman" w:eastAsia="仿宋_GB2312" w:cs="Times New Roman"/>
                <w:kern w:val="0"/>
                <w:sz w:val="22"/>
              </w:rPr>
              <w:t>　</w:t>
            </w:r>
          </w:p>
        </w:tc>
        <w:tc>
          <w:tcPr>
            <w:tcW w:w="16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82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2"/>
                <w:lang w:val="en-US"/>
              </w:rPr>
            </w:pPr>
            <w:r>
              <w:rPr>
                <w:rFonts w:hint="eastAsia" w:ascii="Times New Roman" w:hAnsi="Times New Roman" w:eastAsia="仿宋_GB2312" w:cs="Times New Roman"/>
                <w:kern w:val="0"/>
                <w:sz w:val="22"/>
                <w:lang w:val="en-US" w:eastAsia="zh-CN"/>
              </w:rPr>
              <w:t>578.96</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578.96</w:t>
            </w:r>
            <w:r>
              <w:rPr>
                <w:rFonts w:ascii="Times New Roman" w:hAnsi="Times New Roman" w:eastAsia="仿宋_GB2312" w:cs="Times New Roman"/>
                <w:kern w:val="0"/>
                <w:sz w:val="22"/>
              </w:rPr>
              <w:t>　</w:t>
            </w:r>
          </w:p>
        </w:tc>
        <w:tc>
          <w:tcPr>
            <w:tcW w:w="173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578.96</w:t>
            </w:r>
            <w:r>
              <w:rPr>
                <w:rFonts w:ascii="Times New Roman" w:hAnsi="Times New Roman" w:eastAsia="仿宋_GB2312" w:cs="Times New Roman"/>
                <w:kern w:val="0"/>
                <w:sz w:val="22"/>
              </w:rPr>
              <w:t>　</w:t>
            </w:r>
          </w:p>
        </w:tc>
        <w:tc>
          <w:tcPr>
            <w:tcW w:w="16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578.96</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821"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578.96</w:t>
            </w:r>
          </w:p>
        </w:tc>
        <w:tc>
          <w:tcPr>
            <w:tcW w:w="173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578.96</w:t>
            </w:r>
          </w:p>
        </w:tc>
        <w:tc>
          <w:tcPr>
            <w:tcW w:w="1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 w:val="20"/>
          <w:szCs w:val="20"/>
          <w:lang w:bidi="ar"/>
        </w:rPr>
        <w:tab/>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bidi="ar"/>
        </w:rPr>
        <w:t>怀化国际陆港经济开发区财政金融局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w:t>
      </w:r>
      <w:r>
        <w:rPr>
          <w:rFonts w:hint="eastAsia" w:ascii="Times New Roman" w:hAnsi="Times New Roman" w:eastAsia="仿宋_GB2312" w:cs="Times New Roman"/>
          <w:color w:val="000000"/>
          <w:kern w:val="0"/>
          <w:szCs w:val="21"/>
          <w:lang w:val="en-US" w:eastAsia="zh-CN"/>
        </w:rPr>
        <w:t>元</w:t>
      </w:r>
      <w:r>
        <w:rPr>
          <w:rFonts w:ascii="Times New Roman" w:hAnsi="Times New Roman" w:eastAsia="仿宋_GB2312" w:cs="Times New Roman"/>
          <w:color w:val="000000"/>
          <w:kern w:val="0"/>
          <w:szCs w:val="21"/>
        </w:rPr>
        <w:t xml:space="preserve">                           </w:t>
      </w:r>
    </w:p>
    <w:tbl>
      <w:tblPr>
        <w:tblStyle w:val="10"/>
        <w:tblW w:w="14219" w:type="dxa"/>
        <w:jc w:val="center"/>
        <w:tblInd w:w="0" w:type="dxa"/>
        <w:tblLayout w:type="fixed"/>
        <w:tblCellMar>
          <w:top w:w="0" w:type="dxa"/>
          <w:left w:w="108" w:type="dxa"/>
          <w:bottom w:w="0" w:type="dxa"/>
          <w:right w:w="108" w:type="dxa"/>
        </w:tblCellMar>
      </w:tblPr>
      <w:tblGrid>
        <w:gridCol w:w="1200"/>
        <w:gridCol w:w="3527"/>
        <w:gridCol w:w="3000"/>
        <w:gridCol w:w="3492"/>
        <w:gridCol w:w="3000"/>
      </w:tblGrid>
      <w:tr>
        <w:tblPrEx>
          <w:tblLayout w:type="fixed"/>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Layout w:type="fixed"/>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Layout w:type="fixed"/>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Layout w:type="fixed"/>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578.96</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234.96</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343.98</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2010601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234.96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234.96</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2010602</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一般行政管理事务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343.98</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343.98</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 w:val="20"/>
          <w:szCs w:val="20"/>
          <w:lang w:bidi="ar"/>
        </w:rPr>
        <w:t>怀化国际陆港经济开发区财政金融局</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Cs w:val="21"/>
        </w:rPr>
        <w:t>单位：万元</w:t>
      </w:r>
    </w:p>
    <w:tbl>
      <w:tblPr>
        <w:tblStyle w:val="10"/>
        <w:tblW w:w="14627" w:type="dxa"/>
        <w:jc w:val="center"/>
        <w:tblInd w:w="0" w:type="dxa"/>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Layout w:type="fixed"/>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209.56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25.12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76.22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10.12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36.72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4.98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7.85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4.86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0.63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0.97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6.30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61.88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15.93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209.86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25.12</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怀化国际陆港经济开发区财政金融局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Ind w:w="0" w:type="dxa"/>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Layout w:type="fixed"/>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Layout w:type="fixed"/>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Layout w:type="fixed"/>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ind w:firstLine="1260" w:firstLineChars="600"/>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 w:val="20"/>
          <w:szCs w:val="20"/>
          <w:lang w:bidi="ar"/>
        </w:rPr>
        <w:t>怀化国际陆港经济开发区财政金融局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10"/>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Layout w:type="fixed"/>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Layout w:type="fixed"/>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怀化国际陆港经济开发区财政金融局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14544" w:type="dxa"/>
        <w:jc w:val="center"/>
        <w:tblInd w:w="0" w:type="dxa"/>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Layout w:type="fixed"/>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Layout w:type="fixed"/>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Layout w:type="fixed"/>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Layout w:type="fixed"/>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0.20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582.25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108.43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15.7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年末机构调整导致部分经费</w:t>
      </w:r>
      <w:r>
        <w:rPr>
          <w:rFonts w:hint="eastAsia" w:ascii="Times New Roman" w:hAnsi="Times New Roman" w:eastAsia="仿宋_GB2312" w:cs="Times New Roman"/>
          <w:sz w:val="32"/>
          <w:szCs w:val="32"/>
          <w:lang w:val="en-US" w:eastAsia="zh-CN"/>
        </w:rPr>
        <w:t>未从本部门支出</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582.25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578.96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99.4</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3.28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582.25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238.27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40.92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343.98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59.08</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578.96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111.72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16.2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年末机构调整导致部分经费</w:t>
      </w:r>
      <w:r>
        <w:rPr>
          <w:rFonts w:hint="eastAsia" w:ascii="Times New Roman" w:hAnsi="Times New Roman" w:eastAsia="仿宋_GB2312" w:cs="Times New Roman"/>
          <w:sz w:val="32"/>
          <w:szCs w:val="32"/>
          <w:lang w:val="en-US" w:eastAsia="zh-CN"/>
        </w:rPr>
        <w:t>未从本部门支出</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578.96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111.72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16.2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年末机构调整导致部分经费</w:t>
      </w:r>
      <w:r>
        <w:rPr>
          <w:rFonts w:hint="eastAsia" w:ascii="Times New Roman" w:hAnsi="Times New Roman" w:eastAsia="仿宋_GB2312" w:cs="Times New Roman"/>
          <w:sz w:val="32"/>
          <w:szCs w:val="32"/>
          <w:lang w:val="en-US" w:eastAsia="zh-CN"/>
        </w:rPr>
        <w:t>未从本部门支出</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578.96</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578.96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610.45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578.96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94.84</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lang w:val="en-US" w:eastAsia="zh-CN"/>
        </w:rPr>
        <w:t>201</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610.45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234.98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38.49</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调整支出性质。</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w:t>
      </w:r>
      <w:r>
        <w:rPr>
          <w:rFonts w:hint="eastAsia" w:ascii="Times New Roman" w:hAnsi="Times New Roman" w:eastAsia="仿宋_GB2312" w:cs="Times New Roman"/>
          <w:sz w:val="32"/>
          <w:szCs w:val="32"/>
          <w:lang w:val="en-US" w:eastAsia="zh-CN"/>
        </w:rPr>
        <w:t>201</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343.98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调整支出性质。</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234.98</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val="0"/>
          <w:bCs w:val="0"/>
          <w:sz w:val="32"/>
          <w:szCs w:val="32"/>
          <w:lang w:val="en-US" w:eastAsia="zh-CN"/>
        </w:rPr>
        <w:t>209.86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89.31</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25.12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10.69</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劳务费等</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本年未发生相应支出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本年未发生相应支出</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不变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不变</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本年未发生相应支出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本年未发生相应支出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年度本单位无政府性基金收支</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25.12</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2.27</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人员编制数量增加</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eastAsia"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一、财政拨款收入：指单位从同级财政部门取得的财政预算资金。</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二、事业收入：指事业单位开展专业业务活动及辅助活动取得的收入。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三、其他收入：指单位取得的除上述收入以外的各项收入。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四、年初结转和结余：指单位以前年度尚未完成、结转到本年按有关规定继续使用的资金。</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五、年末结转和结余：指单位按有关规定结转到下年或以后年度继续使用的资金。</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六、基本支出：指单位为保障其机构正常运转、完成日常工作任务而发生的人员支出和公用支出。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七、“三公”经费：纳入中央财政预决算管理的“三公”经费，是指导中央部门用财政拨款安排的因公出国（境）费、公务用车购置及运行费和公务接待费，是党政机关维持运转或完成特定工作任务所开支的相关支出，是政府行政支出的一部分。其中，因公出国（境）费反映单位公务出国（境）的国际旅费、国外城市间交通费、住宿费、伙食费、培训费、公杂费等支出；公务用车购置及运行费反映单位公务用车车辆购置支出（含车辆购置税）及燃料费、维修费、过桥过路费、保险费、安全奖励费用等支出；公务接待费反映单位按规定开支的各类公务接待支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eastAsia"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八、机关运行经费：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88F32FF"/>
    <w:rsid w:val="0B720DD9"/>
    <w:rsid w:val="11B31BE4"/>
    <w:rsid w:val="1D97DEFF"/>
    <w:rsid w:val="1DFF72E5"/>
    <w:rsid w:val="1EFC6F07"/>
    <w:rsid w:val="297B1C1F"/>
    <w:rsid w:val="2FDF85B8"/>
    <w:rsid w:val="2FFFEE04"/>
    <w:rsid w:val="34DF85B0"/>
    <w:rsid w:val="3B8F36BC"/>
    <w:rsid w:val="40386D84"/>
    <w:rsid w:val="47880922"/>
    <w:rsid w:val="491FF225"/>
    <w:rsid w:val="4B401E8B"/>
    <w:rsid w:val="4FFD214C"/>
    <w:rsid w:val="520742F4"/>
    <w:rsid w:val="52E90499"/>
    <w:rsid w:val="558A2C2D"/>
    <w:rsid w:val="5777D4F5"/>
    <w:rsid w:val="59277B42"/>
    <w:rsid w:val="59DD8326"/>
    <w:rsid w:val="5DEF592A"/>
    <w:rsid w:val="5EA369BD"/>
    <w:rsid w:val="5F0637DC"/>
    <w:rsid w:val="5FC6BB1E"/>
    <w:rsid w:val="5FF720F1"/>
    <w:rsid w:val="65236075"/>
    <w:rsid w:val="65B64EA3"/>
    <w:rsid w:val="67FF5C0B"/>
    <w:rsid w:val="6EFC0924"/>
    <w:rsid w:val="6FB74722"/>
    <w:rsid w:val="6FEF8B7E"/>
    <w:rsid w:val="71A6591B"/>
    <w:rsid w:val="737D59BA"/>
    <w:rsid w:val="77C37683"/>
    <w:rsid w:val="79D19834"/>
    <w:rsid w:val="79FF515B"/>
    <w:rsid w:val="7BF549BF"/>
    <w:rsid w:val="7D5A10AC"/>
    <w:rsid w:val="7E9E1962"/>
    <w:rsid w:val="7E9F11B4"/>
    <w:rsid w:val="7EF42022"/>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1">
    <w:name w:val="页眉 Char"/>
    <w:basedOn w:val="9"/>
    <w:link w:val="7"/>
    <w:qFormat/>
    <w:uiPriority w:val="99"/>
    <w:rPr>
      <w:sz w:val="18"/>
      <w:szCs w:val="18"/>
    </w:rPr>
  </w:style>
  <w:style w:type="character" w:customStyle="1" w:styleId="12">
    <w:name w:val="页脚 Char"/>
    <w:basedOn w:val="9"/>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9"/>
    <w:link w:val="5"/>
    <w:semiHidden/>
    <w:qFormat/>
    <w:uiPriority w:val="99"/>
    <w:rPr>
      <w:sz w:val="18"/>
      <w:szCs w:val="18"/>
    </w:rPr>
  </w:style>
  <w:style w:type="character" w:customStyle="1" w:styleId="16">
    <w:name w:val="font01"/>
    <w:basedOn w:val="9"/>
    <w:qFormat/>
    <w:uiPriority w:val="0"/>
    <w:rPr>
      <w:rFonts w:hint="eastAsia" w:ascii="宋体" w:hAnsi="宋体" w:eastAsia="宋体" w:cs="宋体"/>
      <w:color w:val="000000"/>
      <w:sz w:val="22"/>
      <w:szCs w:val="22"/>
      <w:u w:val="none"/>
    </w:rPr>
  </w:style>
  <w:style w:type="character" w:customStyle="1" w:styleId="17">
    <w:name w:val="font21"/>
    <w:basedOn w:val="9"/>
    <w:qFormat/>
    <w:uiPriority w:val="0"/>
    <w:rPr>
      <w:rFonts w:hint="eastAsia" w:ascii="宋体" w:hAnsi="宋体" w:eastAsia="宋体" w:cs="宋体"/>
      <w:color w:val="000000"/>
      <w:sz w:val="24"/>
      <w:szCs w:val="24"/>
      <w:u w:val="none"/>
    </w:rPr>
  </w:style>
  <w:style w:type="character" w:customStyle="1" w:styleId="18">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1440</Words>
  <Characters>1604</Characters>
  <Lines>69</Lines>
  <Paragraphs>19</Paragraphs>
  <TotalTime>15</TotalTime>
  <ScaleCrop>false</ScaleCrop>
  <LinksUpToDate>false</LinksUpToDate>
  <CharactersWithSpaces>2002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admin</cp:lastModifiedBy>
  <cp:lastPrinted>2026-10-10T07:14:00Z</cp:lastPrinted>
  <dcterms:modified xsi:type="dcterms:W3CDTF">2026-10-13T03:01:42Z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D7E8A5F82AEE4063B1F982189ACC05D3_13</vt:lpwstr>
  </property>
  <property fmtid="{D5CDD505-2E9C-101B-9397-08002B2CF9AE}" pid="4" name="KSOTemplateDocerSaveRecord">
    <vt:lpwstr>eyJoZGlkIjoiMjE0NjUyZjg0YWIwNTg5NmNhMWUzNmE3YThiZTMyZTgiLCJ1c2VySWQiOiIxMTQxODY2ODQ4In0=</vt:lpwstr>
  </property>
</Properties>
</file>